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6AFA" w:rsidRDefault="00EE274B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Broj: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11-06/01-04-8497/26</w:t>
      </w:r>
    </w:p>
    <w:p w:rsidR="00F36AFA" w:rsidRDefault="00EE274B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Sarajevo, 12.03.2026. godine</w:t>
      </w:r>
    </w:p>
    <w:p w:rsidR="00F36AFA" w:rsidRDefault="00F36AFA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 osnovu člana 106. Zakona o odgoju i obrazovanju u osnovnoj i srednjoj školi u Kantonu Sarajevo (“Službene novine Kantona Sarajevo”, broj: 27/24), člana 8. Zakona o ministarskim, vladinim i drugim imenovanjima Federacije BiH (,,Službene novine F BiH”, br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12/03, 34/03 i 65/13), tačke V Odluke o standardima i kriterijima za imenovanje na pozicije predsjednika i članova školskog odbora osnovne škole, srednje škole, srednjoškolskog </w:t>
      </w:r>
      <w:r>
        <w:rPr>
          <w:rFonts w:ascii="Times New Roman" w:eastAsia="Times New Roman" w:hAnsi="Times New Roman" w:cs="Times New Roman"/>
          <w:sz w:val="22"/>
          <w:szCs w:val="22"/>
        </w:rPr>
        <w:t>i školskog centra kao javne ustanove na području Kantona Sarajevo (,,Službene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novine Kantona Sarajevo”, broj: 39/24) i člana 4. Pravilnika o izboru, razrješenju, nadležnostima i načinu rada školskog odbora osnovne škole, srednje škole, srednjoškolskog i školskog centra na području Kantona Sarajevo (“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Službene novine Kantona Sarajevo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”, br. 46/24 i 3/25) ministrica za odgoj i obrazovanje Kantona Sarajevo raspisuje </w:t>
      </w:r>
    </w:p>
    <w:p w:rsidR="00F36AFA" w:rsidRDefault="00F36AFA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JAVNI OGLAS</w:t>
      </w:r>
    </w:p>
    <w:p w:rsidR="00F36AFA" w:rsidRDefault="00EE274B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za izbor i imenovanje na pozicije predsjednika i članova u školskim odborima osnovnih škola kao javnih ustanova na području Kantona Sarajevo, čija konačna imeno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vanja vrši Vlada Kantona Sarajevo</w:t>
      </w:r>
    </w:p>
    <w:p w:rsidR="00F36AFA" w:rsidRDefault="00F36AFA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hint="eastAsia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F36AFA" w:rsidRDefault="00EE27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Na osnovu ovog Javnog oglasa za imenovanje na pozicije predsjednika i članova školskih odbora osnovnih škola kao javnih ustanova na području Kantona Sarajevo, čija konačna imenovanja vrši Vlada Kantona Sarajevo (u dal</w:t>
      </w:r>
      <w:r>
        <w:rPr>
          <w:rFonts w:ascii="Times New Roman" w:eastAsia="Times New Roman" w:hAnsi="Times New Roman" w:cs="Times New Roman"/>
          <w:color w:val="000000"/>
        </w:rPr>
        <w:t>jem tekstu: Javni oglas) izvršit će se imenovanje predsjednika i članova na pozicije u školskim odborima u sljedećim osnovnim školama kao javnim ustanovama na području Kantona Sarajevo, za koje nije bilo prijavljenih kandidata ili prijave kandidata nisu is</w:t>
      </w:r>
      <w:r>
        <w:rPr>
          <w:rFonts w:ascii="Times New Roman" w:eastAsia="Times New Roman" w:hAnsi="Times New Roman" w:cs="Times New Roman"/>
          <w:color w:val="000000"/>
        </w:rPr>
        <w:t>punjavale uslove Javnog oglasa za izbor i imenovanje na pozicije predsjednika i članova u školskim odborima osnovnih škola kao javnih ustanova na podričju Kantona Sarajevo, čija konačna imenovanja vrši Vlada Kantona Sarajevo, na mandatni period od četiri g</w:t>
      </w:r>
      <w:r>
        <w:rPr>
          <w:rFonts w:ascii="Times New Roman" w:eastAsia="Times New Roman" w:hAnsi="Times New Roman" w:cs="Times New Roman"/>
          <w:color w:val="000000"/>
        </w:rPr>
        <w:t>odine, broj: 11-06/01-04-40872-5/25 od 14.11.2025. godine, kako slijedi: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2304"/>
        <w:gridCol w:w="6378"/>
      </w:tblGrid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 škole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zicije u školskom odboru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,,Hadžići“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,,9.maj“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Hadžići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rPr>
          <w:trHeight w:val="8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„Hilmi ef. Šarić“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Hadžići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„Hašim Spahić“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Ilijaš na čijem području se škola nalazi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rPr>
          <w:trHeight w:val="6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„Podlugovi“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Ilijaš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„Srednje“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Ilijaš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,,Stari Ilijaš“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,,Zahid Baručija“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,,Zajko Delić“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Vogošća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,,Izet Šabić“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Vogošća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,,Porodice ef.Ramić“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Vogošća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,,Zaim Kolar“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Trnovo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Osnovna škola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,,Isak Samokovlija“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,,Alija Nametak“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Centar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,,Musa Ćazim Ćatić“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Centar na čijem području se škola nalazi –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,,Safvet-beg Bašagić“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Centar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,,Silvije Strahimir Kranjčević“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Centar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rPr>
          <w:trHeight w:val="1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,,Mehmed-beg Kapetanović Ljubušak“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redstavnik Općine Centar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,,Nafija Sarajlić“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Centar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,,ŠIP“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Centar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,,Hasan Kaimija“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,,Treća osnovna škola“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,,Četvrta osnovna škola“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Ilidža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,,Peta osnovna škola“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Ilidža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,,Šesta osnovna škola“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Ilidža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,,Sedma osnovna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škola“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Ilidža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rPr>
          <w:trHeight w:val="9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Osma osnovna škola ,,Amer Ćenanović“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Ilidža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,,Deveta osnovna škola“ Ilidža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,,Deseta osnovna škola“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Osnovna muzička škola Ilidža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Ilidža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,,Malta“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,,Grbavica I“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Novo Sarajevo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,,Grbavica 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,,Pofalići“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,,Velešićki heroji“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Novo Sarajevo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Centar za odgoj, obrazovanje i rehabilitaciju ,,Vladimir Nazor“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Novo Sarajevo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,,Osman Nakaš“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rPr>
          <w:trHeight w:val="9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,,Mehmedalija Mak Dizdar“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Općine Novi Grad na čijem području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,,Behaudin Selmanović“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,,Džemaludin Čaušević“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,,Meša Selimović“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,,Fatima Gunić“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,,Aleksa Šantić“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,,Skender Kulenović“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,,Ćamil Sijarić“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,,Osman Nuri Hadžić“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,,Umihana Čuvidina“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,,Avdo Smailović“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,,Mustafa Busuladžić“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Općine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,,Sokolje“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Novi Grad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,,Edhem Mulabdić“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Stari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,,Mula Mustafa Bašeskija“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Općine Stari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</w:t>
            </w:r>
          </w:p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,,Šejh Muhamed ef.Hadžijamaković“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Stari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,,Hamdija Kreševljaković“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 1 član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škola ,,Vrhbosna“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Stari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Osnovna muzička škola ,,Mladen Pozajić“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Javna ustanova Zavod za specijalno obrazovanje i odgoj djece ,,Mjedenica“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Stari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radnika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član</w:t>
            </w:r>
          </w:p>
        </w:tc>
      </w:tr>
    </w:tbl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 osnovu ovog Javnog oglasa izvršit će se imenovanje predsjednika i članova na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upražnjene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pozicije u školskim odborima u sljedećim osnovnim školama kao javnim ustanovama na području Kantona Sarajevo, čiji mandati ne ističu u prvoj polovini tekuće kalendarske godine i dalje, kako slijedi: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2304"/>
        <w:gridCol w:w="6378"/>
      </w:tblGrid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 škole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zicije u školskom odboru</w:t>
            </w: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,,Vladislav Skarić“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Općine Centar na čijem području se škola nalazi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muzička i baletska škola ,,Novo Sarajevo“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Novo Sarajevo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rPr>
          <w:trHeight w:val="8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„Kovačići“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Novo Sarajevo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„Čengić Vila I“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Novo Sarajevo na čijem području se škola nalazi – 1 član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6AFA">
        <w:trPr>
          <w:trHeight w:val="6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„Aneks“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Ministarstva (predsjednik) – 1 član</w:t>
            </w:r>
          </w:p>
        </w:tc>
      </w:tr>
      <w:tr w:rsidR="00F36AFA">
        <w:trPr>
          <w:trHeight w:val="6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Javna ustanova Osnovna škola „Saburina“ </w:t>
            </w:r>
          </w:p>
          <w:p w:rsidR="00F36AFA" w:rsidRDefault="00F36A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Predstavnik Općine Stari Grad na čijem području se škola nalazi – 1 član</w:t>
            </w:r>
          </w:p>
          <w:p w:rsidR="00F36AFA" w:rsidRDefault="00EE274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Predstavnik roditelja učenika – 1 član </w:t>
            </w:r>
          </w:p>
          <w:p w:rsidR="00F36AFA" w:rsidRDefault="00F36AFA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OPIS POZICIJA: 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Školski odbor je organ upravljanja u školi. Osigurava djelotvorno i efikasno korištenje svih resursa škole i brine se o zakonitom radu škole i njenih organa.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Nadležnosti u donošenju akata škole su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 donošenje pravila škole, donošenje godišnjeg programa rada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škole za tekuću godinu i izvještaja o realizaciji godišnjeg programa rada za prethodnu godinu, donošenje finansijskog plana i usvajanje godišnjeg obračuna,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donošenje općeg akta o unutrašnjoj organizaciji i sistematizaciji radnih mjesta, i drugih općih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akata u skladu sa pozitivno pravnim propisima i donošenje programa rada i izvještaja o radu koji podnosi osnivaču.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Školski odbor je nadležan za rješavanje 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izboru, imenovanju i razrješenju direktora i pomoćnika direktora/voditelj dijela nastavnog proc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esa kao i zaključivanju ugovora o radu i prestanku rada direktora škole u skladu sa pravilnikom koji donosi ministar, imenovanju komisija u skladu sa pozitivno-pravnim propisima, korištenju sredstava preko iznosa određenog pozitivno pravnim propisima, žalb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 učenika, odnosno roditelja učenika na rješenje o izricanju odgojno-disciplinske mjere (ukor nastavničkog vijeća koji sa sobom povlači smanjenje ocjene iz vladanja na ,,loše“, mjera ,,premještaj u drugo odjeljenje iste škole“ ako postoji mogućnost,  mjera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,,premještaj u drugu najbližu osnovnu školu na području općine odnosno Kantona Sarajevo i mjera ,,isključenje iz srednje škole“), utvrđivanju prijedloga plana upisa učenika u prvi razred, verificiranju konačne liste upisanih učenika u prvi razred, žalbama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prigovorima kandidata po javnom konkursu za prijem radnika i žalbama i prigovorima koji se odnose na rad direktora škole.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Školski odbor je nadležan za odlučivanje u drugom stepenu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na odluke direktora škole na koje je dopuštena žalba ili prigovor.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Škols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ki odbor obavlja i sljedeće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 razmatra prijedloge odluka, preporuke i prijedloge koje se upute školskom odboru i preduzima odgovarajuće mjere, rješava sva pitanja odnosa s osnivačem, u prvom stepenu razmatra i odlučuje o pitanjima radnopravnog statusa direk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tora škole, prati, ocjenjuje i kontrolira rad direktora škole, u vanrednim situacijama kada je direktor privremeno spriječen da obavlja poslove iz nadležnosti direktora, uz saglasnost Ministarstva, ovlašćuje nastavnika ili stručnog saradnika koji ispunjava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uslove za direktora koji će, pored svojih poslova, obavljati i poslove i radne zadatke direktora, sve dok traje ta spriječenost, donosi plan kadrovskih potreba u osnovnoj školi i srednjoj školi za petogodišnji period,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utvrđuje konačnu listu radnika koji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 djelomično ili potpuno ostali bez radnih zadataka,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na osnovu saglasnosti Ministarstva, na prijedlog direktora, donosi odluku o raspisivanju konkursa za prijem radnika,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na prijedlog direktora donosi odluku o raspisivanju konkursa/oglasa za prijem pripr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avnika i vrši i druge poslove u skladu sa pozitivno pravnim propisima i pravilima škole.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II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Za predsjednika i člana školskog odbora osnovne škole kao javne ustanove može biti imenovan kandidat koji ispunjava sljedeće opće uvjete: 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je stariji od 18 godina,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otpušten iz državne službe kao rezultat disciplinske mjere na bilo kojem nivou u Bosni i Hercegovini (bilo na nivou države ili entiteta) u periodu od tri godine od dana objavljivanja pozicije,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se na tog kandidata ne 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dnosi član IX. 1. Ustava Bosne i Hercegovine,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 nije osuđivan za krivično djelo nespojivo sa dužnošću u školskom odboru osnovne škole, 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 nije izabrani zvaničnik, nosilac izvršnih funkcija, savjetnik u smislu Zakona o sukobu interesa u organima vlasti 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Federaciji Bosne i Hercegovine (,,Službene novine Federacije BiH”, broj: 70/08) da nije nosilac javne funkcije u smislu Zakona o prevenciji i suzbijanju korupcije u Kantonu Sarajevo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(,,Službene novine Kantona Sarajevo”, br. 35/22, 44/22-Ispravka i 52/22-Is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pravka), odnosno da nije lice koje je izabrano u organe predstavničke, zakonodavne, izvršne i sudske vlasti, niti lice koje ima smetnje za imenovanje u skladu sa zakonima kojima se regulišu pitanja sukoba interesa na svim nivoima vlasti, 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izabran 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organe i tijela političkih partija,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radnik Ministarstva za odgoj i obrazovanje Kantona Sarajevo,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radnik Javne ustanove Institut za razvoj preduniverzitetskog obrazovanja Kantona Sarajevo,</w:t>
      </w:r>
    </w:p>
    <w:p w:rsidR="00F36AFA" w:rsidRDefault="00EE274B">
      <w:pPr>
        <w:numPr>
          <w:ilvl w:val="0"/>
          <w:numId w:val="2"/>
        </w:num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 nije radnik općine na području Kantona Sarajevo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 radnik Grada Sarajeva.</w:t>
      </w:r>
    </w:p>
    <w:p w:rsidR="00F36AFA" w:rsidRDefault="00F36AFA">
      <w:pPr>
        <w:shd w:val="clear" w:color="auto" w:fill="FFFFFF"/>
        <w:spacing w:line="25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Pored navedenih općih uslova, kandidat koji se imenuje za poziciju predsjednika ili člana školskog odbora osnovne škole kao javne ustanove treba da ispunjava i sljedeće posebne uvjete: 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36AFA" w:rsidRDefault="00EE274B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za predsjednika i člana – predstavnika Mini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starstva i predstavnika općine:</w:t>
      </w:r>
    </w:p>
    <w:p w:rsidR="00F36AFA" w:rsidRDefault="00EE274B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ima najmanje VII stepen stručne spreme ili prvi ciklus studija po bolonjskom procesu,</w:t>
      </w:r>
    </w:p>
    <w:p w:rsidR="00F36AFA" w:rsidRDefault="00EE274B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ima najmanje pet godina radnog staža u struci,</w:t>
      </w:r>
    </w:p>
    <w:p w:rsidR="00F36AFA" w:rsidRDefault="00EE274B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nema privatni finansijski interes u školi u čiji školski odbor se kandidira,</w:t>
      </w:r>
    </w:p>
    <w:p w:rsidR="00F36AFA" w:rsidRDefault="00EE274B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 nije direktor škole registrirane u Kantonu Sarajevo, </w:t>
      </w:r>
    </w:p>
    <w:p w:rsidR="00F36AFA" w:rsidRDefault="00EE274B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radnik škole u čiji se školski odbor kandidira,</w:t>
      </w:r>
    </w:p>
    <w:p w:rsidR="00F36AFA" w:rsidRDefault="00EE274B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roditelj učenika koji pohađa školu u čiji se školski odbor kandidira;</w:t>
      </w:r>
    </w:p>
    <w:p w:rsidR="00F36AFA" w:rsidRDefault="00EE274B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za člana školskog odbora - predstavnika radnika:</w:t>
      </w:r>
    </w:p>
    <w:p w:rsidR="00F36AFA" w:rsidRDefault="00EE274B">
      <w:pPr>
        <w:numPr>
          <w:ilvl w:val="0"/>
          <w:numId w:val="3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ima završen najmanje VII stepen stručne spreme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ili prvi ciklus studija po bolonjskom procesu,</w:t>
      </w:r>
    </w:p>
    <w:p w:rsidR="00F36AFA" w:rsidRDefault="00EE274B">
      <w:pPr>
        <w:numPr>
          <w:ilvl w:val="0"/>
          <w:numId w:val="3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ima najmanje pet godina radnog staža u struci,</w:t>
      </w:r>
    </w:p>
    <w:p w:rsidR="00F36AFA" w:rsidRDefault="00EE274B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direktor škole registrirane u Kantonu Sarajevo,</w:t>
      </w:r>
    </w:p>
    <w:p w:rsidR="00F36AFA" w:rsidRDefault="00EE274B">
      <w:pPr>
        <w:numPr>
          <w:ilvl w:val="0"/>
          <w:numId w:val="3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 nije roditelj učenika koji pohađa školu u čiji se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školski odbor kandidira,</w:t>
      </w:r>
    </w:p>
    <w:p w:rsidR="00F36AFA" w:rsidRDefault="00EE274B">
      <w:pPr>
        <w:numPr>
          <w:ilvl w:val="0"/>
          <w:numId w:val="3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ima status radnika u školi kao javnoj ustanovi u smislu važećih propisa o radu;</w:t>
      </w:r>
    </w:p>
    <w:p w:rsidR="00F36AFA" w:rsidRDefault="00EE274B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za člana školskog odbora - predstavnika roditelja:</w:t>
      </w:r>
    </w:p>
    <w:p w:rsidR="00F36AFA" w:rsidRDefault="00EE274B">
      <w:pPr>
        <w:numPr>
          <w:ilvl w:val="0"/>
          <w:numId w:val="5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ima završen najmanje IV stepen stručne spreme,</w:t>
      </w:r>
    </w:p>
    <w:p w:rsidR="00F36AFA" w:rsidRDefault="00EE274B">
      <w:pPr>
        <w:numPr>
          <w:ilvl w:val="0"/>
          <w:numId w:val="5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direktor škole registrirane u Kantonu 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arajevo,</w:t>
      </w:r>
    </w:p>
    <w:p w:rsidR="00F36AFA" w:rsidRDefault="00EE274B">
      <w:pPr>
        <w:numPr>
          <w:ilvl w:val="0"/>
          <w:numId w:val="5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nije radnik škole u čiji se školski odbor kandidira,</w:t>
      </w:r>
    </w:p>
    <w:p w:rsidR="00F36AFA" w:rsidRDefault="00EE274B">
      <w:pPr>
        <w:numPr>
          <w:ilvl w:val="0"/>
          <w:numId w:val="5"/>
        </w:numPr>
        <w:ind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 ima status roditelja učenika škole u čiji se školski odbor kandidira.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</w:t>
      </w:r>
    </w:p>
    <w:p w:rsidR="00F36AFA" w:rsidRDefault="00EE274B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III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Predsjednika i članove školskog odbora osnovne škole kao javne ustanove imenuje i razrj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ešava Vlada Kantona Sarajevo, za koju su obavezujući prijedlozi kandidata iz reda roditelja učenika, radnika škole i predstavnika općine u školskom odboru, koje u skladu sa važećim propisima izaberu nadležne strukture.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F36AFA" w:rsidRDefault="00EE274B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IV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Prijavljivanje se vrš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 putem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Prijavnog obrasca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 koji se može preuzeti u šalter-sali Kantona Sarajevo (Ul. Reisa Džemaludina Čauševića br. 1 Sarajevo) ili na web stranici Ministarstva za odgoj i obrazovanje Kantona Sarajevo (</w:t>
      </w:r>
      <w:hyperlink r:id="rId7">
        <w:r>
          <w:rPr>
            <w:rFonts w:ascii="Times New Roman" w:eastAsia="Times New Roman" w:hAnsi="Times New Roman" w:cs="Times New Roman"/>
            <w:b/>
            <w:color w:val="000000"/>
            <w:sz w:val="22"/>
            <w:szCs w:val="22"/>
            <w:u w:val="single"/>
          </w:rPr>
          <w:t>www.mo.ks.gov.ba</w:t>
        </w:r>
      </w:hyperlink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). Na istim mjestima se može preuzeti i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obrazac Izjave o ispunjavaju uvjeta.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Prijavu sa cjelokupnom traženom dokumentacijom kandidat treba dostaviti lično ili poštom preporučeno, na adresu Ministarstva za odgoj i obrazovanje Kantona Sarajev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o (ul. Reisa Džemaludina Čauševića br. 1 Sarajevo), sa naznakom «Prijava na javni oglas za Školski odbor JU ''_________________________''- ne otvaraj – otvara Komisija».                                                       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( Upisati naziv ustanove)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Uz prijavni obrazac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kandidat treba priložiti: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Biografiju,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Univerzitetsku diplomu (najmanje VII stepen stručne spreme ili prvi ciklus studija po bolonjskom procesu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- za predstavnika roditelja najmanje diplomu o steč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enom IV stepenu stručne);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Uvjerenje o državljanstvu (ne starije od 6 mjeseci);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Potvrdu/uvjerenje o radnom stažu u struci</w:t>
      </w: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najmanje pet godina radnog staža u struci (potpisanu i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ovjerenu od strane poslodavca) ili uvjerenje o podacima registrovanim u matičnoj evidenciji osiguranika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(FZ MIO-PIO) (za predstavnika roditelja nije potrebno);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Potpisanu i popunjenu Izjavu o ispunjavanju uvjeta, ovjerenu od strane nadležne opć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inske službe.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Sve dokumente potrebno je priložiti u originalu ili fotokopiji ovjerenoj kod nadležne općinske službe.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Dokumentacija dostavljena na Javni oglas se ne vraća. 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Javni oglas će biti javno objavljen „Službenim novinama Federacije Bosne i Herceg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ovine“, u dnevnom listu ,,Oslobođenje“, na zvaničnoj internet stranici Vlade Kantona Sarajevo, Ministarstva za odgoj i obrazovanje Kantona Sarajevo i škole u kojoj se vrši imenovanje na pozicije predsjednika i članova školskog odbora. Javni oglas ostaje ot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voren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petnaest (15) dana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od posljednjeg dana javnog objavljivanja.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Nepotpune, neuredne i neblagovremene prijave neće biti razmatrane. </w:t>
      </w: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Kandidat će biti blagovremeno obaviješten o statusu prijave ukoliko ista nije u skladu sa propisanim uslovima teksta ovo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 Javnog oglasa.</w:t>
      </w:r>
    </w:p>
    <w:p w:rsidR="00F36AFA" w:rsidRDefault="00F36AFA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Predsjednik i članovi školskog odbora će svoje dužnosti obavljati na dobrovoljnoj osnovi i bez bilo kojeg vida nadoknade. </w:t>
      </w:r>
    </w:p>
    <w:p w:rsidR="00F36AFA" w:rsidRDefault="00F36AFA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36AFA" w:rsidRDefault="00EE274B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Procedura obrade aplikacija i objedinjavanja prijedloga provest će se u skladu sa članom 6. Pravilnika o izboru, 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azrješenju, nadležnostima i načinu rada školskog odbora osnovne škole, srednje škole, srednjoškolskog i školskog centra na području Kantona Sarajevo (“Službene novine Kantona Sarajevo”, br. 46/24 i 3/25). Svi kandidati koji ispunjavaju uslove Javnog oglasa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bit će pozvani na razgovor pred Komisijom koja provodi proceduru po ovom Javnom oglasu, a koju rješenjem imenuje Vlada Kantona Sarajevo. Vlada Kantona Sarajevo osigurat će da se izvrši i javno objavi konačno imenovanje na poziciju predsjednika i člana u š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kolskom odboru.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                   </w:t>
      </w:r>
    </w:p>
    <w:p w:rsidR="00F36AFA" w:rsidRDefault="00EE274B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</w:t>
      </w:r>
    </w:p>
    <w:p w:rsidR="00F36AFA" w:rsidRDefault="00F36AFA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36AFA" w:rsidRDefault="00EE274B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                                      M I N I S T R I C A</w:t>
      </w:r>
    </w:p>
    <w:p w:rsidR="00F36AFA" w:rsidRDefault="00EE274B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            </w:t>
      </w:r>
    </w:p>
    <w:p w:rsidR="00F36AFA" w:rsidRDefault="00EE274B">
      <w:pP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        Naida Hota-Muminović, s. r.</w:t>
      </w:r>
    </w:p>
    <w:p w:rsidR="00F36AFA" w:rsidRDefault="00F36AFA">
      <w:pP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F36AFA" w:rsidRDefault="00F36AFA">
      <w:pP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F36AFA" w:rsidRDefault="00F36AFA">
      <w:pP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F36AFA" w:rsidRDefault="00F36AFA">
      <w:pP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F36AFA" w:rsidRDefault="00F36AFA">
      <w:pP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</w:p>
    <w:p w:rsidR="00F36AFA" w:rsidRDefault="00F36AFA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sectPr w:rsidR="00F36AFA">
      <w:footerReference w:type="default" r:id="rId8"/>
      <w:headerReference w:type="first" r:id="rId9"/>
      <w:footerReference w:type="first" r:id="rId10"/>
      <w:pgSz w:w="11906" w:h="16838"/>
      <w:pgMar w:top="567" w:right="1134" w:bottom="510" w:left="1134" w:header="567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4B" w:rsidRDefault="00EE274B">
      <w:pPr>
        <w:rPr>
          <w:rFonts w:hint="eastAsia"/>
        </w:rPr>
      </w:pPr>
      <w:r>
        <w:separator/>
      </w:r>
    </w:p>
  </w:endnote>
  <w:endnote w:type="continuationSeparator" w:id="0">
    <w:p w:rsidR="00EE274B" w:rsidRDefault="00EE27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FA" w:rsidRDefault="00F36A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b/>
        <w:i/>
        <w:color w:val="000000"/>
        <w:sz w:val="20"/>
        <w:szCs w:val="20"/>
      </w:rPr>
    </w:pPr>
  </w:p>
  <w:tbl>
    <w:tblPr>
      <w:tblStyle w:val="a1"/>
      <w:tblW w:w="9638" w:type="dxa"/>
      <w:tblInd w:w="114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36AFA">
      <w:tc>
        <w:tcPr>
          <w:tcW w:w="2121" w:type="dxa"/>
          <w:shd w:val="clear" w:color="auto" w:fill="auto"/>
        </w:tcPr>
        <w:p w:rsidR="00F36AFA" w:rsidRDefault="00EE274B">
          <w:pPr>
            <w:spacing w:before="60"/>
            <w:rPr>
              <w:rFonts w:hint="eastAsia"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US" w:eastAsia="en-US" w:bidi="ar-SA"/>
            </w:rPr>
            <w:drawing>
              <wp:inline distT="0" distB="0" distL="0" distR="0">
                <wp:extent cx="1242530" cy="648000"/>
                <wp:effectExtent l="0" t="0" r="0" b="0"/>
                <wp:docPr id="7" name="image1.png" descr="Text, 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, logo, company nam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shd w:val="clear" w:color="auto" w:fill="auto"/>
          <w:vAlign w:val="center"/>
        </w:tcPr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Adresa: Reisa Džemaludina Čauševića 1, 71 000 Sarajevo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Tel: + 387 (0) 33 562-128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2120" w:type="dxa"/>
          <w:shd w:val="clear" w:color="auto" w:fill="auto"/>
          <w:vAlign w:val="center"/>
        </w:tcPr>
        <w:p w:rsidR="00F36AFA" w:rsidRDefault="00EE274B">
          <w:pPr>
            <w:spacing w:before="60"/>
            <w:jc w:val="right"/>
            <w:rPr>
              <w:rFonts w:hint="eastAsia"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 w:rsidR="001D13A3">
            <w:rPr>
              <w:rFonts w:hint="eastAsia"/>
              <w:b/>
              <w:sz w:val="20"/>
              <w:szCs w:val="20"/>
            </w:rPr>
            <w:fldChar w:fldCharType="separate"/>
          </w:r>
          <w:r w:rsidR="001D13A3">
            <w:rPr>
              <w:rFonts w:hint="eastAsia"/>
              <w:b/>
              <w:noProof/>
              <w:sz w:val="20"/>
              <w:szCs w:val="20"/>
            </w:rPr>
            <w:t>4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>/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</w:instrText>
          </w:r>
          <w:r w:rsidR="001D13A3">
            <w:rPr>
              <w:rFonts w:hint="eastAsia"/>
              <w:b/>
              <w:sz w:val="20"/>
              <w:szCs w:val="20"/>
            </w:rPr>
            <w:fldChar w:fldCharType="separate"/>
          </w:r>
          <w:r w:rsidR="001D13A3">
            <w:rPr>
              <w:rFonts w:hint="eastAsia"/>
              <w:b/>
              <w:noProof/>
              <w:sz w:val="20"/>
              <w:szCs w:val="20"/>
            </w:rPr>
            <w:t>8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:rsidR="00F36AFA" w:rsidRDefault="00F36AFA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FA" w:rsidRDefault="00F36A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hint="eastAsia"/>
      </w:rPr>
    </w:pPr>
  </w:p>
  <w:tbl>
    <w:tblPr>
      <w:tblStyle w:val="a4"/>
      <w:tblW w:w="9638" w:type="dxa"/>
      <w:tblInd w:w="114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36AFA">
      <w:tc>
        <w:tcPr>
          <w:tcW w:w="2121" w:type="dxa"/>
          <w:shd w:val="clear" w:color="auto" w:fill="auto"/>
        </w:tcPr>
        <w:p w:rsidR="00F36AFA" w:rsidRDefault="00EE274B">
          <w:pPr>
            <w:spacing w:before="60"/>
            <w:rPr>
              <w:rFonts w:hint="eastAsia"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US" w:eastAsia="en-US" w:bidi="ar-SA"/>
            </w:rPr>
            <w:drawing>
              <wp:inline distT="0" distB="0" distL="0" distR="0">
                <wp:extent cx="1242530" cy="648000"/>
                <wp:effectExtent l="0" t="0" r="0" b="0"/>
                <wp:docPr id="8" name="image1.png" descr="Text, 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, logo, company nam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shd w:val="clear" w:color="auto" w:fill="auto"/>
          <w:vAlign w:val="center"/>
        </w:tcPr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Adresa: Reisa Džemaludina Čauševića 1, 71 000 Sarajevo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Tel: + 387 (0) 33 562-128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2120" w:type="dxa"/>
          <w:shd w:val="clear" w:color="auto" w:fill="auto"/>
          <w:vAlign w:val="center"/>
        </w:tcPr>
        <w:p w:rsidR="00F36AFA" w:rsidRDefault="00EE274B">
          <w:pPr>
            <w:spacing w:before="60"/>
            <w:jc w:val="right"/>
            <w:rPr>
              <w:rFonts w:hint="eastAsia"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 w:rsidR="001D13A3">
            <w:rPr>
              <w:rFonts w:hint="eastAsia"/>
              <w:b/>
              <w:sz w:val="20"/>
              <w:szCs w:val="20"/>
            </w:rPr>
            <w:fldChar w:fldCharType="separate"/>
          </w:r>
          <w:r w:rsidR="001D13A3">
            <w:rPr>
              <w:rFonts w:hint="eastAsia"/>
              <w:b/>
              <w:noProof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>/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</w:instrText>
          </w:r>
          <w:r w:rsidR="001D13A3">
            <w:rPr>
              <w:rFonts w:hint="eastAsia"/>
              <w:b/>
              <w:sz w:val="20"/>
              <w:szCs w:val="20"/>
            </w:rPr>
            <w:fldChar w:fldCharType="separate"/>
          </w:r>
          <w:r w:rsidR="001D13A3">
            <w:rPr>
              <w:rFonts w:hint="eastAsia"/>
              <w:b/>
              <w:noProof/>
              <w:sz w:val="20"/>
              <w:szCs w:val="20"/>
            </w:rPr>
            <w:t>8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:rsidR="00F36AFA" w:rsidRDefault="00F36AF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4B" w:rsidRDefault="00EE274B">
      <w:pPr>
        <w:rPr>
          <w:rFonts w:hint="eastAsia"/>
        </w:rPr>
      </w:pPr>
      <w:r>
        <w:separator/>
      </w:r>
    </w:p>
  </w:footnote>
  <w:footnote w:type="continuationSeparator" w:id="0">
    <w:p w:rsidR="00EE274B" w:rsidRDefault="00EE274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FA" w:rsidRDefault="00F36A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hint="eastAsia"/>
      </w:rPr>
    </w:pPr>
  </w:p>
  <w:tbl>
    <w:tblPr>
      <w:tblStyle w:val="a2"/>
      <w:tblW w:w="9615" w:type="dxa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F36AFA">
      <w:tc>
        <w:tcPr>
          <w:tcW w:w="4244" w:type="dxa"/>
          <w:shd w:val="clear" w:color="auto" w:fill="auto"/>
        </w:tcPr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eastAsia="Liberation Serif" w:cs="Liberation Serif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t>Bosna i Hercegovina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eastAsia="Liberation Serif" w:cs="Liberation Serif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2"/>
              <w:szCs w:val="22"/>
              <w:lang w:val="en-US" w:eastAsia="en-US" w:bidi="ar-SA"/>
            </w:rPr>
            <w:drawing>
              <wp:inline distT="0" distB="0" distL="0" distR="0">
                <wp:extent cx="628015" cy="802005"/>
                <wp:effectExtent l="0" t="0" r="0" b="0"/>
                <wp:docPr id="9" name="image2.png" descr="C:\Users\ezudin.kurtovic\Box\path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ezudin.kurtovic\Box\path9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Liberation Serif" w:cs="Liberation Serif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t>Босна и Херцеговина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Liberation Serif" w:cs="Liberation Serif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t>Федерација Босне и Херцеговине</w:t>
          </w:r>
        </w:p>
      </w:tc>
    </w:tr>
    <w:tr w:rsidR="00F36AFA">
      <w:trPr>
        <w:trHeight w:val="620"/>
      </w:trPr>
      <w:tc>
        <w:tcPr>
          <w:tcW w:w="4244" w:type="dxa"/>
          <w:shd w:val="clear" w:color="auto" w:fill="auto"/>
        </w:tcPr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eastAsia="Liberation Serif" w:cs="Liberation Serif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t xml:space="preserve">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  <w:t xml:space="preserve"> KANTON SARAJEVO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eastAsia="Liberation Serif" w:cs="Liberation Serif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:rsidR="00F36AFA" w:rsidRDefault="00F36A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Liberation Serif" w:cs="Liberation Serif"/>
              <w:color w:val="000000"/>
            </w:rPr>
          </w:pPr>
        </w:p>
      </w:tc>
      <w:tc>
        <w:tcPr>
          <w:tcW w:w="4171" w:type="dxa"/>
          <w:shd w:val="clear" w:color="auto" w:fill="auto"/>
        </w:tcPr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17"/>
            <w:rPr>
              <w:rFonts w:eastAsia="Liberation Serif" w:cs="Liberation Serif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  <w:t>КАНТОН САРАЈЕВО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  <w:t xml:space="preserve">Министарство за одгој и </w:t>
          </w:r>
        </w:p>
        <w:p w:rsidR="00F36AFA" w:rsidRDefault="00EE274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  <w:t>образовање</w:t>
          </w:r>
        </w:p>
        <w:p w:rsidR="00F36AFA" w:rsidRDefault="00F3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17"/>
            <w:rPr>
              <w:rFonts w:eastAsia="Liberation Serif" w:cs="Liberation Serif"/>
              <w:color w:val="000000"/>
            </w:rPr>
          </w:pPr>
        </w:p>
      </w:tc>
    </w:tr>
    <w:tr w:rsidR="00F36AFA">
      <w:trPr>
        <w:trHeight w:val="620"/>
      </w:trPr>
      <w:tc>
        <w:tcPr>
          <w:tcW w:w="9615" w:type="dxa"/>
          <w:gridSpan w:val="3"/>
          <w:shd w:val="clear" w:color="auto" w:fill="auto"/>
        </w:tcPr>
        <w:p w:rsidR="00F36AFA" w:rsidRDefault="00F36A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Liberation Serif" w:cs="Liberation Serif"/>
              <w:color w:val="000000"/>
            </w:rPr>
          </w:pPr>
        </w:p>
        <w:tbl>
          <w:tblPr>
            <w:tblStyle w:val="a3"/>
            <w:tblW w:w="4825" w:type="dxa"/>
            <w:tblInd w:w="2265" w:type="dxa"/>
            <w:tblLayout w:type="fixed"/>
            <w:tblLook w:val="0000" w:firstRow="0" w:lastRow="0" w:firstColumn="0" w:lastColumn="0" w:noHBand="0" w:noVBand="0"/>
          </w:tblPr>
          <w:tblGrid>
            <w:gridCol w:w="4825"/>
          </w:tblGrid>
          <w:tr w:rsidR="00F36AFA">
            <w:tc>
              <w:tcPr>
                <w:tcW w:w="4825" w:type="dxa"/>
                <w:shd w:val="clear" w:color="auto" w:fill="auto"/>
              </w:tcPr>
              <w:p w:rsidR="00F36AFA" w:rsidRDefault="00EE274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jc w:val="center"/>
                  <w:rPr>
                    <w:rFonts w:eastAsia="Liberation Serif" w:cs="Liberation Serif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  <w:t>Bosnia and Herzegovina</w:t>
                </w:r>
              </w:p>
              <w:p w:rsidR="00F36AFA" w:rsidRDefault="00EE274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jc w:val="center"/>
                  <w:rPr>
                    <w:rFonts w:eastAsia="Liberation Serif" w:cs="Liberation Serif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F36AFA">
            <w:tc>
              <w:tcPr>
                <w:tcW w:w="4825" w:type="dxa"/>
                <w:shd w:val="clear" w:color="auto" w:fill="auto"/>
              </w:tcPr>
              <w:p w:rsidR="00F36AFA" w:rsidRDefault="00EE274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jc w:val="center"/>
                  <w:rPr>
                    <w:rFonts w:eastAsia="Liberation Serif" w:cs="Liberation Serif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CANTON SARAJEVO</w:t>
                </w:r>
              </w:p>
              <w:p w:rsidR="00F36AFA" w:rsidRDefault="00EE274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Ministry for Education</w:t>
                </w:r>
              </w:p>
              <w:p w:rsidR="00F36AFA" w:rsidRDefault="00F36AF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jc w:val="center"/>
                  <w:rPr>
                    <w:rFonts w:eastAsia="Liberation Serif" w:cs="Liberation Serif"/>
                    <w:color w:val="000000"/>
                    <w:sz w:val="18"/>
                    <w:szCs w:val="18"/>
                  </w:rPr>
                </w:pPr>
              </w:p>
            </w:tc>
          </w:tr>
        </w:tbl>
        <w:p w:rsidR="00F36AFA" w:rsidRDefault="00F3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</w:p>
      </w:tc>
    </w:tr>
  </w:tbl>
  <w:p w:rsidR="00F36AFA" w:rsidRDefault="00F36AF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12FB"/>
    <w:multiLevelType w:val="multilevel"/>
    <w:tmpl w:val="92043D9C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703F71"/>
    <w:multiLevelType w:val="multilevel"/>
    <w:tmpl w:val="2A82453C"/>
    <w:lvl w:ilvl="0">
      <w:start w:val="1"/>
      <w:numFmt w:val="lowerLetter"/>
      <w:lvlText w:val="%1)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7F23A1"/>
    <w:multiLevelType w:val="multilevel"/>
    <w:tmpl w:val="31F277F6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0C173EA"/>
    <w:multiLevelType w:val="multilevel"/>
    <w:tmpl w:val="59E65576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1F01D7"/>
    <w:multiLevelType w:val="multilevel"/>
    <w:tmpl w:val="96D015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BE66D0"/>
    <w:multiLevelType w:val="multilevel"/>
    <w:tmpl w:val="FABA78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FA"/>
    <w:rsid w:val="001D13A3"/>
    <w:rsid w:val="00EE274B"/>
    <w:rsid w:val="00F3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3F2F7-FF9D-40DF-99D9-647F4D9F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zh-CN" w:bidi="hi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76DD"/>
    <w:pPr>
      <w:ind w:left="720"/>
      <w:contextualSpacing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.ks.gov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3337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Selmir</dc:creator>
  <cp:lastModifiedBy>Selmir</cp:lastModifiedBy>
  <cp:revision>2</cp:revision>
  <dcterms:created xsi:type="dcterms:W3CDTF">2026-03-18T11:18:00Z</dcterms:created>
  <dcterms:modified xsi:type="dcterms:W3CDTF">2026-03-18T11:18:00Z</dcterms:modified>
</cp:coreProperties>
</file>